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DD" w:rsidRPr="006E4656" w:rsidRDefault="00E13865">
      <w:pPr>
        <w:pStyle w:val="1"/>
        <w:rPr>
          <w:color w:val="auto"/>
          <w:lang w:val="ru-RU"/>
        </w:rPr>
      </w:pPr>
      <w:r w:rsidRPr="006E4656">
        <w:rPr>
          <w:color w:val="auto"/>
          <w:lang w:val="ru-RU"/>
        </w:rPr>
        <w:t xml:space="preserve">Оценка клинического протокола по методологии </w:t>
      </w:r>
      <w:r w:rsidRPr="006E4656">
        <w:rPr>
          <w:color w:val="auto"/>
        </w:rPr>
        <w:t>SYMPLE</w:t>
      </w:r>
      <w:r w:rsidRPr="006E4656">
        <w:rPr>
          <w:color w:val="auto"/>
          <w:lang w:val="ru-RU"/>
        </w:rPr>
        <w:t xml:space="preserve"> </w:t>
      </w:r>
    </w:p>
    <w:p w:rsidR="00F20BDD" w:rsidRPr="006E4656" w:rsidRDefault="00E13865">
      <w:pPr>
        <w:pStyle w:val="21"/>
        <w:rPr>
          <w:color w:val="auto"/>
        </w:rPr>
      </w:pPr>
      <w:r w:rsidRPr="006E4656">
        <w:rPr>
          <w:color w:val="auto"/>
        </w:rPr>
        <w:t>Результаты оценки по SYMPLE</w:t>
      </w:r>
    </w:p>
    <w:tbl>
      <w:tblPr>
        <w:tblStyle w:val="aff0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№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Домен SYMPLE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Оценка (0–3)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Комментарий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1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Актуальность клинической проблемы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3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r w:rsidRPr="006E4656">
              <w:rPr>
                <w:lang w:val="ru-RU"/>
              </w:rPr>
              <w:t>Протокол охватывает одну из наиболее критических тем — остановку кровообращения.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2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Целевые пользователи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3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r w:rsidRPr="006E4656">
              <w:rPr>
                <w:lang w:val="ru-RU"/>
              </w:rPr>
              <w:t xml:space="preserve">Четко указано: медицинские работники всех уровней здравоохранения </w:t>
            </w:r>
            <w:proofErr w:type="spellStart"/>
            <w:r w:rsidRPr="006E4656">
              <w:rPr>
                <w:lang w:val="ru-RU"/>
              </w:rPr>
              <w:t>Кыргызской</w:t>
            </w:r>
            <w:proofErr w:type="spellEnd"/>
            <w:r w:rsidRPr="006E4656">
              <w:rPr>
                <w:lang w:val="ru-RU"/>
              </w:rPr>
              <w:t xml:space="preserve"> Республики.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3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Контекст и ресурсы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3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r w:rsidRPr="006E4656">
              <w:rPr>
                <w:lang w:val="ru-RU"/>
              </w:rPr>
              <w:t>Учитываются условия страны: ограничения, кадровый состав, логистика регионов.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4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Простота и ясность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2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r w:rsidRPr="006E4656">
              <w:rPr>
                <w:lang w:val="ru-RU"/>
              </w:rPr>
              <w:t>Протокол логично</w:t>
            </w:r>
            <w:r w:rsidRPr="006E4656">
              <w:rPr>
                <w:lang w:val="ru-RU"/>
              </w:rPr>
              <w:t xml:space="preserve"> структурирован, но требует хорошей подготовки читателя.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5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Гибкость и адаптивность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3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r w:rsidRPr="006E4656">
              <w:rPr>
                <w:lang w:val="ru-RU"/>
              </w:rPr>
              <w:t>Включены варианты действий в особых обстоятельствах.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6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Включение пациента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1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proofErr w:type="spellStart"/>
            <w:r w:rsidRPr="006E4656">
              <w:rPr>
                <w:lang w:val="ru-RU"/>
              </w:rPr>
              <w:t>Пациент-центрированный</w:t>
            </w:r>
            <w:proofErr w:type="spellEnd"/>
            <w:r w:rsidRPr="006E4656">
              <w:rPr>
                <w:lang w:val="ru-RU"/>
              </w:rPr>
              <w:t xml:space="preserve"> подход практически не освещён.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7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Эффективность внедрения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2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r w:rsidRPr="006E4656">
              <w:rPr>
                <w:lang w:val="ru-RU"/>
              </w:rPr>
              <w:t>Имеются ал</w:t>
            </w:r>
            <w:r w:rsidRPr="006E4656">
              <w:rPr>
                <w:lang w:val="ru-RU"/>
              </w:rPr>
              <w:t>горитмы и таблицы, но не хватает визуальных инструментов.</w:t>
            </w:r>
          </w:p>
        </w:tc>
      </w:tr>
      <w:tr w:rsidR="00F20BDD" w:rsidRPr="006E4656">
        <w:tc>
          <w:tcPr>
            <w:tcW w:w="2160" w:type="dxa"/>
          </w:tcPr>
          <w:p w:rsidR="00F20BDD" w:rsidRPr="006E4656" w:rsidRDefault="00E13865">
            <w:r w:rsidRPr="006E4656">
              <w:t>8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Оценка и пересмотр</w:t>
            </w:r>
          </w:p>
        </w:tc>
        <w:tc>
          <w:tcPr>
            <w:tcW w:w="2160" w:type="dxa"/>
          </w:tcPr>
          <w:p w:rsidR="00F20BDD" w:rsidRPr="006E4656" w:rsidRDefault="00E13865">
            <w:r w:rsidRPr="006E4656">
              <w:t>3</w:t>
            </w:r>
          </w:p>
        </w:tc>
        <w:tc>
          <w:tcPr>
            <w:tcW w:w="2160" w:type="dxa"/>
          </w:tcPr>
          <w:p w:rsidR="00F20BDD" w:rsidRPr="006E4656" w:rsidRDefault="00E13865">
            <w:pPr>
              <w:rPr>
                <w:lang w:val="ru-RU"/>
              </w:rPr>
            </w:pPr>
            <w:r w:rsidRPr="006E4656">
              <w:rPr>
                <w:lang w:val="ru-RU"/>
              </w:rPr>
              <w:t xml:space="preserve">Указаны телефоны, </w:t>
            </w:r>
            <w:r w:rsidRPr="006E4656">
              <w:t>email</w:t>
            </w:r>
            <w:r w:rsidRPr="006E4656">
              <w:rPr>
                <w:lang w:val="ru-RU"/>
              </w:rPr>
              <w:t xml:space="preserve"> и адрес для связи с рабочей группой.</w:t>
            </w:r>
          </w:p>
        </w:tc>
      </w:tr>
    </w:tbl>
    <w:p w:rsidR="00F20BDD" w:rsidRPr="006E4656" w:rsidRDefault="00F20BDD">
      <w:pPr>
        <w:rPr>
          <w:lang w:val="ru-RU"/>
        </w:rPr>
      </w:pPr>
    </w:p>
    <w:p w:rsidR="00F20BDD" w:rsidRPr="006E4656" w:rsidRDefault="00E13865">
      <w:pPr>
        <w:pStyle w:val="21"/>
        <w:rPr>
          <w:color w:val="auto"/>
          <w:lang w:val="ru-RU"/>
        </w:rPr>
      </w:pPr>
      <w:r w:rsidRPr="006E4656">
        <w:rPr>
          <w:color w:val="auto"/>
          <w:lang w:val="ru-RU"/>
        </w:rPr>
        <w:lastRenderedPageBreak/>
        <w:t>Общий вывод</w:t>
      </w:r>
    </w:p>
    <w:p w:rsidR="00F20BDD" w:rsidRDefault="00E13865">
      <w:r w:rsidRPr="006E4656">
        <w:rPr>
          <w:lang w:val="ru-RU"/>
        </w:rPr>
        <w:t xml:space="preserve">Клиническое руководство по СЛР у взрослых по методологии </w:t>
      </w:r>
      <w:r w:rsidRPr="006E4656">
        <w:t>SYMPLE</w:t>
      </w:r>
      <w:r w:rsidRPr="006E4656">
        <w:rPr>
          <w:lang w:val="ru-RU"/>
        </w:rPr>
        <w:t xml:space="preserve"> получает высокую оценку </w:t>
      </w:r>
      <w:r w:rsidRPr="006E4656">
        <w:rPr>
          <w:lang w:val="ru-RU"/>
        </w:rPr>
        <w:t>практической применимости (20 из 24 баллов). Оно адаптировано к национальной системе здравоохранения, охватывает широкий спектр клинических ситуаций и соответствует международным рекомендациям.</w:t>
      </w:r>
    </w:p>
    <w:p w:rsidR="00E13865" w:rsidRPr="003E3865" w:rsidRDefault="00E13865" w:rsidP="00E13865">
      <w:pPr>
        <w:rPr>
          <w:rFonts w:ascii="Times New Roman" w:hAnsi="Times New Roman" w:cs="Times New Roman"/>
          <w:lang w:val="ru-RU"/>
        </w:rPr>
      </w:pPr>
      <w:r w:rsidRPr="003E3865">
        <w:rPr>
          <w:rStyle w:val="af6"/>
          <w:rFonts w:ascii="Times New Roman" w:hAnsi="Times New Roman" w:cs="Times New Roman"/>
          <w:lang w:val="ru-RU"/>
        </w:rPr>
        <w:t>Результат:</w:t>
      </w:r>
      <w:r w:rsidRPr="003E3865">
        <w:rPr>
          <w:rFonts w:ascii="Times New Roman" w:hAnsi="Times New Roman" w:cs="Times New Roman"/>
          <w:lang w:val="ru-RU"/>
        </w:rPr>
        <w:t xml:space="preserve"> </w:t>
      </w:r>
      <w:r w:rsidRPr="00E13865">
        <w:rPr>
          <w:rStyle w:val="af6"/>
          <w:rFonts w:ascii="Times New Roman" w:hAnsi="Times New Roman" w:cs="Times New Roman"/>
          <w:lang w:val="ru-RU"/>
        </w:rPr>
        <w:t>20</w:t>
      </w:r>
      <w:r w:rsidRPr="003E3865">
        <w:rPr>
          <w:rStyle w:val="af6"/>
          <w:rFonts w:ascii="Times New Roman" w:hAnsi="Times New Roman" w:cs="Times New Roman"/>
          <w:lang w:val="ru-RU"/>
        </w:rPr>
        <w:t xml:space="preserve"> / 24</w:t>
      </w:r>
      <w:r w:rsidRPr="003E3865">
        <w:rPr>
          <w:rFonts w:ascii="Times New Roman" w:hAnsi="Times New Roman" w:cs="Times New Roman"/>
          <w:lang w:val="ru-RU"/>
        </w:rPr>
        <w:t xml:space="preserve">, что соответствует </w:t>
      </w:r>
      <w:r w:rsidRPr="003E3865">
        <w:rPr>
          <w:rStyle w:val="af6"/>
          <w:rFonts w:ascii="Times New Roman" w:hAnsi="Times New Roman" w:cs="Times New Roman"/>
          <w:lang w:val="ru-RU"/>
        </w:rPr>
        <w:t>высокой степени практической применимости</w:t>
      </w:r>
    </w:p>
    <w:p w:rsidR="00E13865" w:rsidRPr="00E13865" w:rsidRDefault="00E13865">
      <w:pPr>
        <w:rPr>
          <w:lang w:val="ru-RU"/>
        </w:rPr>
      </w:pPr>
    </w:p>
    <w:p w:rsidR="00F20BDD" w:rsidRPr="006E4656" w:rsidRDefault="00E13865">
      <w:proofErr w:type="spellStart"/>
      <w:r w:rsidRPr="006E4656">
        <w:t>Рекомендации</w:t>
      </w:r>
      <w:proofErr w:type="spellEnd"/>
      <w:r w:rsidRPr="006E4656">
        <w:t xml:space="preserve"> </w:t>
      </w:r>
      <w:proofErr w:type="spellStart"/>
      <w:r w:rsidRPr="006E4656">
        <w:t>по</w:t>
      </w:r>
      <w:proofErr w:type="spellEnd"/>
      <w:r w:rsidRPr="006E4656">
        <w:t xml:space="preserve"> </w:t>
      </w:r>
      <w:proofErr w:type="spellStart"/>
      <w:r w:rsidRPr="006E4656">
        <w:t>улучшению</w:t>
      </w:r>
      <w:proofErr w:type="spellEnd"/>
      <w:r w:rsidRPr="006E4656">
        <w:t>:</w:t>
      </w:r>
    </w:p>
    <w:p w:rsidR="00F20BDD" w:rsidRPr="006E4656" w:rsidRDefault="00E13865">
      <w:pPr>
        <w:pStyle w:val="a"/>
        <w:rPr>
          <w:lang w:val="ru-RU"/>
        </w:rPr>
      </w:pPr>
      <w:r w:rsidRPr="006E4656">
        <w:rPr>
          <w:lang w:val="ru-RU"/>
        </w:rPr>
        <w:t xml:space="preserve">1. Добавить визуальные </w:t>
      </w:r>
      <w:proofErr w:type="spellStart"/>
      <w:proofErr w:type="gramStart"/>
      <w:r w:rsidRPr="006E4656">
        <w:rPr>
          <w:lang w:val="ru-RU"/>
        </w:rPr>
        <w:t>чек-листы</w:t>
      </w:r>
      <w:proofErr w:type="spellEnd"/>
      <w:proofErr w:type="gramEnd"/>
      <w:r w:rsidRPr="006E4656">
        <w:rPr>
          <w:lang w:val="ru-RU"/>
        </w:rPr>
        <w:t>, с</w:t>
      </w:r>
      <w:r w:rsidRPr="006E4656">
        <w:rPr>
          <w:lang w:val="ru-RU"/>
        </w:rPr>
        <w:t>хемы и алгоритмы в компактной форме.</w:t>
      </w:r>
    </w:p>
    <w:p w:rsidR="00F20BDD" w:rsidRPr="006E4656" w:rsidRDefault="00E13865">
      <w:pPr>
        <w:pStyle w:val="a"/>
        <w:rPr>
          <w:lang w:val="ru-RU"/>
        </w:rPr>
      </w:pPr>
      <w:r w:rsidRPr="006E4656">
        <w:rPr>
          <w:lang w:val="ru-RU"/>
        </w:rPr>
        <w:t xml:space="preserve">2. Укрепить компонент участия пациента, особенно для </w:t>
      </w:r>
      <w:proofErr w:type="spellStart"/>
      <w:r w:rsidRPr="006E4656">
        <w:rPr>
          <w:lang w:val="ru-RU"/>
        </w:rPr>
        <w:t>постреанимационного</w:t>
      </w:r>
      <w:proofErr w:type="spellEnd"/>
      <w:r w:rsidRPr="006E4656">
        <w:rPr>
          <w:lang w:val="ru-RU"/>
        </w:rPr>
        <w:t xml:space="preserve"> периода.</w:t>
      </w:r>
    </w:p>
    <w:p w:rsidR="00F20BDD" w:rsidRPr="006E4656" w:rsidRDefault="00E13865">
      <w:pPr>
        <w:pStyle w:val="a"/>
        <w:rPr>
          <w:lang w:val="ru-RU"/>
        </w:rPr>
      </w:pPr>
      <w:r w:rsidRPr="006E4656">
        <w:rPr>
          <w:lang w:val="ru-RU"/>
        </w:rPr>
        <w:t>3. Разработать систему мониторинга внедрения: кто, как и где оценивает использование протокола.</w:t>
      </w:r>
    </w:p>
    <w:p w:rsidR="00F20BDD" w:rsidRPr="006E4656" w:rsidRDefault="00E13865">
      <w:pPr>
        <w:pStyle w:val="a"/>
        <w:rPr>
          <w:lang w:val="ru-RU"/>
        </w:rPr>
      </w:pPr>
      <w:r w:rsidRPr="006E4656">
        <w:rPr>
          <w:lang w:val="ru-RU"/>
        </w:rPr>
        <w:t>4. Создать краткие обучающие материалы дл</w:t>
      </w:r>
      <w:r w:rsidRPr="006E4656">
        <w:rPr>
          <w:lang w:val="ru-RU"/>
        </w:rPr>
        <w:t>я среднего медперсонала.</w:t>
      </w:r>
    </w:p>
    <w:sectPr w:rsidR="00F20BDD" w:rsidRPr="006E4656" w:rsidSect="006E465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E4656"/>
    <w:rsid w:val="00AA1D8D"/>
    <w:rsid w:val="00B47730"/>
    <w:rsid w:val="00CB0664"/>
    <w:rsid w:val="00E13865"/>
    <w:rsid w:val="00F20BD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F536A-1560-448A-92BA-70C6981D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3</cp:revision>
  <dcterms:created xsi:type="dcterms:W3CDTF">2025-06-05T05:11:00Z</dcterms:created>
  <dcterms:modified xsi:type="dcterms:W3CDTF">2025-06-05T05:14:00Z</dcterms:modified>
</cp:coreProperties>
</file>