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97" w:rsidRPr="00615AED" w:rsidRDefault="00E43F1E">
      <w:pPr>
        <w:pStyle w:val="1"/>
        <w:rPr>
          <w:color w:val="auto"/>
          <w:lang w:val="ru-RU"/>
        </w:rPr>
      </w:pPr>
      <w:r w:rsidRPr="00615AED">
        <w:rPr>
          <w:color w:val="auto"/>
          <w:lang w:val="ru-RU"/>
        </w:rPr>
        <w:t xml:space="preserve">Оценка клинического руководства по методологии </w:t>
      </w:r>
      <w:r w:rsidRPr="00615AED">
        <w:rPr>
          <w:color w:val="auto"/>
        </w:rPr>
        <w:t>PIPOH</w:t>
      </w:r>
    </w:p>
    <w:p w:rsidR="00770C97" w:rsidRPr="00615AED" w:rsidRDefault="00E43F1E">
      <w:pPr>
        <w:rPr>
          <w:lang w:val="ru-RU"/>
        </w:rPr>
      </w:pPr>
      <w:r w:rsidRPr="00615AED">
        <w:rPr>
          <w:lang w:val="ru-RU"/>
        </w:rPr>
        <w:t>Документ: Руководство по сердечно-лёгочной реанимации у взрослых (Кыргызстан, 2025)</w:t>
      </w:r>
      <w:r w:rsidRPr="00615AED">
        <w:rPr>
          <w:lang w:val="ru-RU"/>
        </w:rPr>
        <w:br/>
      </w:r>
    </w:p>
    <w:tbl>
      <w:tblPr>
        <w:tblStyle w:val="aff0"/>
        <w:tblW w:w="0" w:type="auto"/>
        <w:tblLook w:val="04A0"/>
      </w:tblPr>
      <w:tblGrid>
        <w:gridCol w:w="2880"/>
        <w:gridCol w:w="2880"/>
        <w:gridCol w:w="2880"/>
      </w:tblGrid>
      <w:tr w:rsidR="00770C97">
        <w:tc>
          <w:tcPr>
            <w:tcW w:w="2880" w:type="dxa"/>
          </w:tcPr>
          <w:p w:rsidR="00770C97" w:rsidRDefault="00E43F1E">
            <w:proofErr w:type="spellStart"/>
            <w:r>
              <w:t>Компонент</w:t>
            </w:r>
            <w:proofErr w:type="spellEnd"/>
          </w:p>
        </w:tc>
        <w:tc>
          <w:tcPr>
            <w:tcW w:w="2880" w:type="dxa"/>
          </w:tcPr>
          <w:p w:rsidR="00770C97" w:rsidRDefault="00E43F1E">
            <w:r>
              <w:t>Описание</w:t>
            </w:r>
          </w:p>
        </w:tc>
        <w:tc>
          <w:tcPr>
            <w:tcW w:w="2880" w:type="dxa"/>
          </w:tcPr>
          <w:p w:rsidR="00770C97" w:rsidRDefault="00E43F1E">
            <w:r>
              <w:t>Оценка</w:t>
            </w:r>
          </w:p>
        </w:tc>
      </w:tr>
      <w:tr w:rsidR="00770C97">
        <w:tc>
          <w:tcPr>
            <w:tcW w:w="2880" w:type="dxa"/>
          </w:tcPr>
          <w:p w:rsidR="00770C97" w:rsidRDefault="00E43F1E">
            <w:r>
              <w:t>P – Population (Пациенты)</w:t>
            </w:r>
          </w:p>
        </w:tc>
        <w:tc>
          <w:tcPr>
            <w:tcW w:w="2880" w:type="dxa"/>
          </w:tcPr>
          <w:p w:rsidR="00770C97" w:rsidRPr="00615AED" w:rsidRDefault="00E43F1E">
            <w:pPr>
              <w:rPr>
                <w:lang w:val="ru-RU"/>
              </w:rPr>
            </w:pPr>
            <w:r w:rsidRPr="00615AED">
              <w:rPr>
                <w:lang w:val="ru-RU"/>
              </w:rPr>
              <w:t xml:space="preserve">Взрослые пациенты с остановкой кровообращения, включая особые </w:t>
            </w:r>
            <w:r w:rsidRPr="00615AED">
              <w:rPr>
                <w:lang w:val="ru-RU"/>
              </w:rPr>
              <w:t>обстоятельства (ТОС, гипотермия, анафилаксия и др.)</w:t>
            </w:r>
          </w:p>
        </w:tc>
        <w:tc>
          <w:tcPr>
            <w:tcW w:w="2880" w:type="dxa"/>
          </w:tcPr>
          <w:p w:rsidR="00770C97" w:rsidRDefault="00E43F1E">
            <w:r>
              <w:t>✅</w:t>
            </w:r>
            <w:r>
              <w:t xml:space="preserve"> </w:t>
            </w:r>
            <w:r w:rsidR="00615AED">
              <w:rPr>
                <w:lang w:val="ru-RU"/>
              </w:rP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охвачено</w:t>
            </w:r>
            <w:proofErr w:type="spellEnd"/>
          </w:p>
        </w:tc>
      </w:tr>
      <w:tr w:rsidR="00770C97">
        <w:tc>
          <w:tcPr>
            <w:tcW w:w="2880" w:type="dxa"/>
          </w:tcPr>
          <w:p w:rsidR="00770C97" w:rsidRDefault="00E43F1E">
            <w:r>
              <w:t>I – Intervention (Вмешательство)</w:t>
            </w:r>
          </w:p>
        </w:tc>
        <w:tc>
          <w:tcPr>
            <w:tcW w:w="2880" w:type="dxa"/>
          </w:tcPr>
          <w:p w:rsidR="00770C97" w:rsidRPr="00615AED" w:rsidRDefault="00E43F1E">
            <w:pPr>
              <w:rPr>
                <w:lang w:val="ru-RU"/>
              </w:rPr>
            </w:pPr>
            <w:r w:rsidRPr="00615AED">
              <w:rPr>
                <w:lang w:val="ru-RU"/>
              </w:rPr>
              <w:t xml:space="preserve">Сердечно-лёгочная реанимация (базисная и расширенная), алгоритмы, медикаменты, ИВЛ, </w:t>
            </w:r>
            <w:proofErr w:type="spellStart"/>
            <w:r w:rsidRPr="00615AED">
              <w:rPr>
                <w:lang w:val="ru-RU"/>
              </w:rPr>
              <w:t>дефибрилляция</w:t>
            </w:r>
            <w:proofErr w:type="spellEnd"/>
            <w:r w:rsidRPr="00615AED">
              <w:rPr>
                <w:lang w:val="ru-RU"/>
              </w:rPr>
              <w:t xml:space="preserve">, </w:t>
            </w:r>
            <w:proofErr w:type="spellStart"/>
            <w:r w:rsidRPr="00615AED">
              <w:rPr>
                <w:lang w:val="ru-RU"/>
              </w:rPr>
              <w:t>коникотомия</w:t>
            </w:r>
            <w:proofErr w:type="spellEnd"/>
          </w:p>
        </w:tc>
        <w:tc>
          <w:tcPr>
            <w:tcW w:w="2880" w:type="dxa"/>
          </w:tcPr>
          <w:p w:rsidR="00770C97" w:rsidRDefault="00E43F1E">
            <w:r>
              <w:t>✅</w:t>
            </w:r>
            <w:r>
              <w:t xml:space="preserve"> </w:t>
            </w:r>
            <w:r w:rsidR="00615AED">
              <w:rPr>
                <w:lang w:val="ru-RU"/>
              </w:rPr>
              <w:t xml:space="preserve"> </w:t>
            </w:r>
            <w:proofErr w:type="spellStart"/>
            <w:r>
              <w:t>Подробно</w:t>
            </w:r>
            <w:proofErr w:type="spellEnd"/>
            <w:r>
              <w:t xml:space="preserve"> </w:t>
            </w:r>
            <w:proofErr w:type="spellStart"/>
            <w:r>
              <w:t>раскрыто</w:t>
            </w:r>
            <w:proofErr w:type="spellEnd"/>
          </w:p>
        </w:tc>
      </w:tr>
      <w:tr w:rsidR="00770C97">
        <w:tc>
          <w:tcPr>
            <w:tcW w:w="2880" w:type="dxa"/>
          </w:tcPr>
          <w:p w:rsidR="00770C97" w:rsidRDefault="00E43F1E">
            <w:r>
              <w:t>P – Professionals</w:t>
            </w:r>
            <w:r>
              <w:t xml:space="preserve"> (Профессионалы)</w:t>
            </w:r>
          </w:p>
        </w:tc>
        <w:tc>
          <w:tcPr>
            <w:tcW w:w="2880" w:type="dxa"/>
          </w:tcPr>
          <w:p w:rsidR="00770C97" w:rsidRPr="00615AED" w:rsidRDefault="00E43F1E">
            <w:pPr>
              <w:rPr>
                <w:lang w:val="ru-RU"/>
              </w:rPr>
            </w:pPr>
            <w:r w:rsidRPr="00615AED">
              <w:rPr>
                <w:lang w:val="ru-RU"/>
              </w:rPr>
              <w:t>Медицинские работники всех уровней системы здравоохранения КР (фельдшеры, врачи скорой, реаниматологи)</w:t>
            </w:r>
          </w:p>
        </w:tc>
        <w:tc>
          <w:tcPr>
            <w:tcW w:w="2880" w:type="dxa"/>
          </w:tcPr>
          <w:p w:rsidR="00770C97" w:rsidRDefault="00E43F1E">
            <w:r>
              <w:t>✅</w:t>
            </w:r>
            <w:r>
              <w:t xml:space="preserve"> </w:t>
            </w:r>
            <w:r w:rsidR="00615AED">
              <w:rPr>
                <w:lang w:val="ru-RU"/>
              </w:rPr>
              <w:t xml:space="preserve"> </w:t>
            </w:r>
            <w:proofErr w:type="spellStart"/>
            <w:r>
              <w:t>Адресация</w:t>
            </w:r>
            <w:proofErr w:type="spellEnd"/>
            <w:r>
              <w:t xml:space="preserve"> </w:t>
            </w:r>
            <w:proofErr w:type="spellStart"/>
            <w:r>
              <w:t>чёткая</w:t>
            </w:r>
            <w:proofErr w:type="spellEnd"/>
          </w:p>
        </w:tc>
      </w:tr>
      <w:tr w:rsidR="00770C97">
        <w:tc>
          <w:tcPr>
            <w:tcW w:w="2880" w:type="dxa"/>
          </w:tcPr>
          <w:p w:rsidR="00770C97" w:rsidRDefault="00E43F1E">
            <w:r>
              <w:t>O – Outcomes (Исходы)</w:t>
            </w:r>
          </w:p>
        </w:tc>
        <w:tc>
          <w:tcPr>
            <w:tcW w:w="2880" w:type="dxa"/>
          </w:tcPr>
          <w:p w:rsidR="00770C97" w:rsidRPr="00615AED" w:rsidRDefault="00E43F1E">
            <w:pPr>
              <w:rPr>
                <w:lang w:val="ru-RU"/>
              </w:rPr>
            </w:pPr>
            <w:r w:rsidRPr="00615AED">
              <w:rPr>
                <w:lang w:val="ru-RU"/>
              </w:rPr>
              <w:t>Повышение выживаемости, снижение летальности, стандартизация, улучшение качества реанимации</w:t>
            </w:r>
          </w:p>
        </w:tc>
        <w:tc>
          <w:tcPr>
            <w:tcW w:w="2880" w:type="dxa"/>
          </w:tcPr>
          <w:p w:rsidR="00770C97" w:rsidRDefault="00E43F1E">
            <w:r>
              <w:t>✅</w:t>
            </w:r>
            <w:r>
              <w:t xml:space="preserve"> </w:t>
            </w:r>
            <w:r w:rsidR="00615AED">
              <w:rPr>
                <w:lang w:val="ru-RU"/>
              </w:rPr>
              <w:t xml:space="preserve"> </w:t>
            </w:r>
            <w:proofErr w:type="spellStart"/>
            <w:r>
              <w:t>Конкретные</w:t>
            </w:r>
            <w:proofErr w:type="spellEnd"/>
            <w:r>
              <w:t xml:space="preserve"> и </w:t>
            </w:r>
            <w:proofErr w:type="spellStart"/>
            <w:r>
              <w:t>измеримые</w:t>
            </w:r>
            <w:proofErr w:type="spellEnd"/>
          </w:p>
        </w:tc>
      </w:tr>
      <w:tr w:rsidR="00770C97">
        <w:tc>
          <w:tcPr>
            <w:tcW w:w="2880" w:type="dxa"/>
          </w:tcPr>
          <w:p w:rsidR="00770C97" w:rsidRDefault="00E43F1E">
            <w:r>
              <w:t>H – Healthcare setting (Условия)</w:t>
            </w:r>
          </w:p>
        </w:tc>
        <w:tc>
          <w:tcPr>
            <w:tcW w:w="2880" w:type="dxa"/>
          </w:tcPr>
          <w:p w:rsidR="00770C97" w:rsidRPr="00615AED" w:rsidRDefault="00E43F1E">
            <w:pPr>
              <w:rPr>
                <w:lang w:val="ru-RU"/>
              </w:rPr>
            </w:pPr>
            <w:proofErr w:type="spellStart"/>
            <w:r w:rsidRPr="00615AED">
              <w:rPr>
                <w:lang w:val="ru-RU"/>
              </w:rPr>
              <w:t>Догоспитальный</w:t>
            </w:r>
            <w:proofErr w:type="spellEnd"/>
            <w:r w:rsidRPr="00615AED">
              <w:rPr>
                <w:lang w:val="ru-RU"/>
              </w:rPr>
              <w:t xml:space="preserve"> этап, скорая помощь, стационар, операционная, высокогорные и удалённые районы</w:t>
            </w:r>
          </w:p>
        </w:tc>
        <w:tc>
          <w:tcPr>
            <w:tcW w:w="2880" w:type="dxa"/>
          </w:tcPr>
          <w:p w:rsidR="00770C97" w:rsidRDefault="00E43F1E">
            <w:r>
              <w:t>✅</w:t>
            </w:r>
            <w:r>
              <w:t xml:space="preserve"> </w:t>
            </w:r>
            <w:r w:rsidR="00615AED">
              <w:rPr>
                <w:lang w:val="ru-RU"/>
              </w:rPr>
              <w:t xml:space="preserve"> </w:t>
            </w:r>
            <w:proofErr w:type="spellStart"/>
            <w:r>
              <w:t>Условия</w:t>
            </w:r>
            <w:proofErr w:type="spellEnd"/>
            <w:r>
              <w:t xml:space="preserve"> </w:t>
            </w:r>
            <w:proofErr w:type="spellStart"/>
            <w:r>
              <w:t>применения</w:t>
            </w:r>
            <w:proofErr w:type="spellEnd"/>
            <w:r>
              <w:t xml:space="preserve"> </w:t>
            </w:r>
            <w:proofErr w:type="spellStart"/>
            <w:r>
              <w:t>хорошо</w:t>
            </w:r>
            <w:proofErr w:type="spellEnd"/>
            <w:r>
              <w:t xml:space="preserve"> </w:t>
            </w:r>
            <w:proofErr w:type="spellStart"/>
            <w:r>
              <w:t>обозначены</w:t>
            </w:r>
            <w:proofErr w:type="spellEnd"/>
          </w:p>
        </w:tc>
      </w:tr>
    </w:tbl>
    <w:p w:rsidR="00770C97" w:rsidRPr="00615AED" w:rsidRDefault="00E43F1E">
      <w:pPr>
        <w:rPr>
          <w:lang w:val="ru-RU"/>
        </w:rPr>
      </w:pPr>
      <w:r w:rsidRPr="00615AED">
        <w:rPr>
          <w:lang w:val="ru-RU"/>
        </w:rPr>
        <w:br/>
        <w:t xml:space="preserve">Вывод: Руководство полностью соответствует критериям </w:t>
      </w:r>
      <w:r>
        <w:t>PIPOH</w:t>
      </w:r>
      <w:r w:rsidRPr="00615AED">
        <w:rPr>
          <w:lang w:val="ru-RU"/>
        </w:rPr>
        <w:t xml:space="preserve"> и </w:t>
      </w:r>
      <w:r w:rsidRPr="00615AED">
        <w:rPr>
          <w:lang w:val="ru-RU"/>
        </w:rPr>
        <w:t>может быть использовано как модель формулировки других клинических протоколов.</w:t>
      </w:r>
    </w:p>
    <w:sectPr w:rsidR="00770C97" w:rsidRPr="00615A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615AED"/>
    <w:rsid w:val="00770C97"/>
    <w:rsid w:val="00AA1D8D"/>
    <w:rsid w:val="00B47730"/>
    <w:rsid w:val="00CB0664"/>
    <w:rsid w:val="00E43F1E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3DB07B-C4B1-4506-9253-CEC3129F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 Windows</cp:lastModifiedBy>
  <cp:revision>2</cp:revision>
  <dcterms:created xsi:type="dcterms:W3CDTF">2025-05-31T09:00:00Z</dcterms:created>
  <dcterms:modified xsi:type="dcterms:W3CDTF">2025-05-31T09:00:00Z</dcterms:modified>
</cp:coreProperties>
</file>